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21</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9</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进入3月，随着基层企业全面复工小麦市场购销快速恢复，市场供给继续好转，小麦市场价格整体平稳，局地因供给有小幅波动。玉米小麦高价差影响下小麦饲用替代需求继续保持高位，在此影响下拍卖市场成交继续保持活跃。企业复工学校开学带动粉企开机率较前期有所增加，但在激烈的市场竞争中，粉价继续走弱。</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2534</w:t>
      </w:r>
      <w:r>
        <w:rPr>
          <w:rFonts w:hint="eastAsia" w:ascii="仿宋" w:hAnsi="仿宋" w:eastAsia="仿宋"/>
          <w:sz w:val="32"/>
          <w:szCs w:val="32"/>
        </w:rPr>
        <w:t>元/吨，较上</w:t>
      </w:r>
      <w:r>
        <w:rPr>
          <w:rFonts w:hint="eastAsia" w:ascii="仿宋" w:hAnsi="仿宋" w:eastAsia="仿宋"/>
          <w:sz w:val="32"/>
          <w:szCs w:val="32"/>
          <w:lang w:val="en-US" w:eastAsia="zh-CN"/>
        </w:rPr>
        <w:t>周下跌0.2%</w:t>
      </w:r>
      <w:r>
        <w:rPr>
          <w:rFonts w:hint="eastAsia" w:ascii="仿宋" w:hAnsi="仿宋" w:eastAsia="仿宋"/>
          <w:sz w:val="32"/>
          <w:szCs w:val="32"/>
        </w:rPr>
        <w:t>；面粉出厂均价为</w:t>
      </w:r>
      <w:r>
        <w:rPr>
          <w:rFonts w:hint="eastAsia" w:ascii="仿宋" w:hAnsi="仿宋" w:eastAsia="仿宋"/>
          <w:sz w:val="32"/>
          <w:szCs w:val="32"/>
          <w:lang w:val="en-US" w:eastAsia="zh-CN"/>
        </w:rPr>
        <w:t>3026</w:t>
      </w:r>
      <w:r>
        <w:rPr>
          <w:rFonts w:hint="eastAsia" w:ascii="仿宋" w:hAnsi="仿宋" w:eastAsia="仿宋"/>
          <w:sz w:val="32"/>
          <w:szCs w:val="32"/>
        </w:rPr>
        <w:t>元/吨，较上</w:t>
      </w:r>
      <w:r>
        <w:rPr>
          <w:rFonts w:hint="eastAsia" w:ascii="仿宋" w:hAnsi="仿宋" w:eastAsia="仿宋"/>
          <w:sz w:val="32"/>
          <w:szCs w:val="32"/>
          <w:lang w:val="en-US" w:eastAsia="zh-CN"/>
        </w:rPr>
        <w:t>周下跌0.7%</w:t>
      </w:r>
      <w:r>
        <w:rPr>
          <w:rFonts w:hint="eastAsia" w:ascii="仿宋" w:hAnsi="仿宋" w:eastAsia="仿宋"/>
          <w:sz w:val="32"/>
          <w:szCs w:val="32"/>
        </w:rPr>
        <w:t>；麸皮出厂价为</w:t>
      </w:r>
      <w:r>
        <w:rPr>
          <w:rFonts w:hint="eastAsia" w:ascii="仿宋" w:hAnsi="仿宋" w:eastAsia="仿宋"/>
          <w:sz w:val="32"/>
          <w:szCs w:val="32"/>
          <w:lang w:val="en-US" w:eastAsia="zh-CN"/>
        </w:rPr>
        <w:t>1953</w:t>
      </w:r>
      <w:r>
        <w:rPr>
          <w:rFonts w:hint="eastAsia" w:ascii="仿宋" w:hAnsi="仿宋" w:eastAsia="仿宋"/>
          <w:sz w:val="32"/>
          <w:szCs w:val="32"/>
        </w:rPr>
        <w:t>元/吨，较上</w:t>
      </w:r>
      <w:r>
        <w:rPr>
          <w:rFonts w:hint="eastAsia" w:ascii="仿宋" w:hAnsi="仿宋" w:eastAsia="仿宋"/>
          <w:sz w:val="32"/>
          <w:szCs w:val="32"/>
          <w:lang w:val="en-US" w:eastAsia="zh-CN"/>
        </w:rPr>
        <w:t>周下跌2.3%</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进入3月份后随着企业复工学校复课用粮企业补库需求增加，带动政策性小麦成交小幅回升。</w:t>
      </w:r>
      <w:bookmarkStart w:id="0" w:name="_GoBack"/>
      <w:bookmarkEnd w:id="0"/>
      <w:r>
        <w:rPr>
          <w:rFonts w:hint="eastAsia" w:ascii="仿宋" w:hAnsi="仿宋" w:eastAsia="仿宋"/>
          <w:sz w:val="32"/>
          <w:szCs w:val="32"/>
          <w:lang w:val="en-US" w:eastAsia="zh-CN"/>
        </w:rPr>
        <w:t>数据统计显示3月2日，河南省政策性小麦竞价交易计划投放数量为238.47万吨，实际成交65.92万吨，较上期增加9.92万吨；成交率为27.64%，较上期成交率上升4.6个百分点；成交均价为2337元/吨，较上期下跌6元/吨。</w:t>
      </w:r>
    </w:p>
    <w:p>
      <w:pPr>
        <w:spacing w:line="360" w:lineRule="auto"/>
        <w:ind w:firstLine="640" w:firstLineChars="200"/>
        <w:rPr>
          <w:rFonts w:hint="default" w:ascii="仿宋" w:hAnsi="仿宋" w:eastAsia="仿宋"/>
          <w:sz w:val="32"/>
          <w:szCs w:val="32"/>
          <w:lang w:val="en-US" w:eastAsia="zh-CN"/>
        </w:rPr>
      </w:pPr>
    </w:p>
    <w:p>
      <w:pPr>
        <w:spacing w:line="360" w:lineRule="auto"/>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中央气象台全国农业气象周报显示，2月下旬以来我国大部农区光热条件充足，墒情适宜，气象条件利于北方小麦返青生长。24日至月底，北方冬麦区中南部出现明显雨雪天气，此轮降水过程使得土壤墒情得到补充，为后期小麦生长奠定了良好的水分条件。本周我国大部地区气温仍较常年同期明显偏高，中东部地区将出现大范围降温降水过程，水热匹配好，整体利于北方冬小麦返青。据最新农作物生长发育状况监控显示目前</w:t>
      </w:r>
      <w:r>
        <w:rPr>
          <w:rFonts w:hint="default" w:ascii="仿宋" w:hAnsi="仿宋" w:eastAsia="仿宋"/>
          <w:sz w:val="32"/>
          <w:szCs w:val="32"/>
          <w:lang w:val="en-US" w:eastAsia="zh-CN"/>
        </w:rPr>
        <w:t>北方大部冬小麦进入返青起身期，仅新疆北疆、西北地区东北部、河北中北部等地仍处于越冬期；西南地区大部、江汉南部、江淮东部陆续进入拔节至孕穗期，云南部分已开花。全国冬小麦一、二类苗占比分别为22%、77%，一类苗较上周增加1个百分点，二类苗较上周减少1个百分点</w:t>
      </w:r>
      <w:r>
        <w:rPr>
          <w:rFonts w:hint="eastAsia" w:ascii="仿宋" w:hAnsi="仿宋" w:eastAsia="仿宋"/>
          <w:sz w:val="32"/>
          <w:szCs w:val="32"/>
          <w:lang w:val="en-US" w:eastAsia="zh-CN"/>
        </w:rPr>
        <w:t>。针对当前天气情况周报建议北方冬麦区要加强田间巡查，西北地区东部、华北冬小麦陆续返青，要根据麦田墒情和气温变化适时划锄松土，长势偏弱的小麦要趁雨施肥，及时防治病虫草害，确保冬小麦正常返青和稳健生长。南方冬小麦和油菜陆续进入生长发育重要时期，各地注意加强田间管理，及时防治病虫草害，确保形成优势群体。</w:t>
      </w:r>
    </w:p>
    <w:p>
      <w:pPr>
        <w:numPr>
          <w:ilvl w:val="0"/>
          <w:numId w:val="1"/>
        </w:numPr>
        <w:spacing w:line="360" w:lineRule="auto"/>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t>3月1日 ，农业农村部种植业司印发《奋战100天夺夏粮丰收行动方案》</w:t>
      </w:r>
      <w:r>
        <w:rPr>
          <w:rFonts w:hint="eastAsia" w:ascii="仿宋" w:hAnsi="仿宋" w:eastAsia="仿宋"/>
          <w:sz w:val="32"/>
          <w:szCs w:val="32"/>
          <w:lang w:val="en-US" w:eastAsia="zh-CN"/>
        </w:rPr>
        <w:t>（</w:t>
      </w:r>
      <w:r>
        <w:rPr>
          <w:rFonts w:hint="default" w:ascii="仿宋" w:hAnsi="仿宋" w:eastAsia="仿宋"/>
          <w:sz w:val="32"/>
          <w:szCs w:val="32"/>
          <w:lang w:val="en-US" w:eastAsia="zh-CN"/>
        </w:rPr>
        <w:t>农农（农情）〔2021〕1号</w:t>
      </w:r>
      <w:r>
        <w:rPr>
          <w:rFonts w:hint="eastAsia" w:ascii="仿宋" w:hAnsi="仿宋" w:eastAsia="仿宋"/>
          <w:sz w:val="32"/>
          <w:szCs w:val="32"/>
          <w:lang w:val="en-US" w:eastAsia="zh-CN"/>
        </w:rPr>
        <w:t>）</w:t>
      </w:r>
      <w:r>
        <w:rPr>
          <w:rFonts w:hint="default" w:ascii="仿宋" w:hAnsi="仿宋" w:eastAsia="仿宋"/>
          <w:sz w:val="32"/>
          <w:szCs w:val="32"/>
          <w:lang w:val="en-US" w:eastAsia="zh-CN"/>
        </w:rPr>
        <w:t>。《方案》提出，当前主产区大部小麦苗情长势正常，</w:t>
      </w:r>
      <w:r>
        <w:rPr>
          <w:rFonts w:hint="eastAsia" w:ascii="仿宋" w:hAnsi="仿宋" w:eastAsia="仿宋"/>
          <w:sz w:val="32"/>
          <w:szCs w:val="32"/>
          <w:lang w:val="en-US" w:eastAsia="zh-CN"/>
        </w:rPr>
        <w:t>虽</w:t>
      </w:r>
      <w:r>
        <w:rPr>
          <w:rFonts w:hint="default" w:ascii="仿宋" w:hAnsi="仿宋" w:eastAsia="仿宋"/>
          <w:sz w:val="32"/>
          <w:szCs w:val="32"/>
          <w:lang w:val="en-US" w:eastAsia="zh-CN"/>
        </w:rPr>
        <w:t>夏粮丰收基础较好</w:t>
      </w:r>
      <w:r>
        <w:rPr>
          <w:rFonts w:hint="eastAsia" w:ascii="仿宋" w:hAnsi="仿宋" w:eastAsia="仿宋"/>
          <w:sz w:val="32"/>
          <w:szCs w:val="32"/>
          <w:lang w:val="en-US" w:eastAsia="zh-CN"/>
        </w:rPr>
        <w:t>，</w:t>
      </w:r>
      <w:r>
        <w:rPr>
          <w:rFonts w:hint="default" w:ascii="仿宋" w:hAnsi="仿宋" w:eastAsia="仿宋"/>
          <w:sz w:val="32"/>
          <w:szCs w:val="32"/>
          <w:lang w:val="en-US" w:eastAsia="zh-CN"/>
        </w:rPr>
        <w:t>但</w:t>
      </w:r>
      <w:r>
        <w:rPr>
          <w:rFonts w:hint="eastAsia" w:ascii="仿宋" w:hAnsi="仿宋" w:eastAsia="仿宋"/>
          <w:sz w:val="32"/>
          <w:szCs w:val="32"/>
          <w:lang w:val="en-US" w:eastAsia="zh-CN"/>
        </w:rPr>
        <w:t>后期影响产量的风险仍在。下一步工作</w:t>
      </w:r>
      <w:r>
        <w:rPr>
          <w:rFonts w:hint="default" w:ascii="仿宋" w:hAnsi="仿宋" w:eastAsia="仿宋"/>
          <w:sz w:val="32"/>
          <w:szCs w:val="32"/>
          <w:lang w:val="en-US" w:eastAsia="zh-CN"/>
        </w:rPr>
        <w:t>必须从春季田管开始，环环紧扣、季季紧抓，落实以“促弱转壮、控旺防冻、防病治虫”为重点的田管措施，全力夺取夏粮丰收。《方案》要求，突出重点区域、紧盯关键农时，坚持因苗施策、实行分类管理，落实防灾减灾稳产增产关键技术措施，最大限度减轻灾害损失，力争通过奋战100天，夺取夏粮丰收，确保全年粮食和农业生产首战告捷。</w:t>
      </w:r>
      <w:r>
        <w:rPr>
          <w:rFonts w:hint="eastAsia" w:ascii="仿宋" w:hAnsi="仿宋" w:eastAsia="仿宋"/>
          <w:sz w:val="32"/>
          <w:szCs w:val="32"/>
          <w:lang w:val="en-US" w:eastAsia="zh-CN"/>
        </w:rPr>
        <w:t>（下附录关于印发《奋战100天夺夏粮丰收行动方案》的通知）</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3月3日央视网发布最新农情调度显示，今年全国冬小麦面积实现恢复增长，预计播种面积3.35亿亩，比上年增加300多万亩。多数地方冬小麦长势好于上年，已返青冬小麦一二类苗比例达到87.5%，同比提高1个百分点。</w:t>
      </w:r>
    </w:p>
    <w:p>
      <w:pPr>
        <w:numPr>
          <w:ilvl w:val="0"/>
          <w:numId w:val="1"/>
        </w:numPr>
        <w:spacing w:line="360" w:lineRule="auto"/>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t>随着节后复工复学，下游需求有所恢复，</w:t>
      </w:r>
      <w:r>
        <w:rPr>
          <w:rFonts w:hint="eastAsia" w:ascii="仿宋" w:hAnsi="仿宋" w:eastAsia="仿宋"/>
          <w:sz w:val="32"/>
          <w:szCs w:val="32"/>
          <w:lang w:val="en-US" w:eastAsia="zh-CN"/>
        </w:rPr>
        <w:t>影响粉企补库需求增加，加之当前小麦玉米大价差影响下小麦饲用需求仍旧旺盛，市场看多后市预期强烈。但在政策性小麦实施稳价巨量严准入投拍政策制约下，</w:t>
      </w:r>
      <w:r>
        <w:rPr>
          <w:rFonts w:hint="default" w:ascii="仿宋" w:hAnsi="仿宋" w:eastAsia="仿宋"/>
          <w:sz w:val="32"/>
          <w:szCs w:val="32"/>
          <w:lang w:val="en-US" w:eastAsia="zh-CN"/>
        </w:rPr>
        <w:t>麦价</w:t>
      </w:r>
      <w:r>
        <w:rPr>
          <w:rFonts w:hint="eastAsia" w:ascii="仿宋" w:hAnsi="仿宋" w:eastAsia="仿宋"/>
          <w:sz w:val="32"/>
          <w:szCs w:val="32"/>
          <w:lang w:val="en-US" w:eastAsia="zh-CN"/>
        </w:rPr>
        <w:t>上行空间受限。目前河南卖价受区域供给需求影响呈北强南稳态势。据国家粮油统计信息平台监测显示，截至3月1日郑州市普通小麦进厂价格为2550元/吨，较上周上涨2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安阳为2580元/吨，较上周上涨3</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漯河为2590元/吨，较上周下跌3</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元/吨；商丘为2510元/吨，较上周下跌2</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元/吨；周口为2520元/吨，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节后复学复产后，下游需求虽有所增加，但面粉行业产能过剩，供应充足，面粉价格平稳运行。监测显示，</w:t>
      </w:r>
      <w:r>
        <w:rPr>
          <w:rFonts w:hint="eastAsia" w:ascii="仿宋" w:hAnsi="仿宋" w:eastAsia="仿宋"/>
          <w:b w:val="0"/>
          <w:bCs/>
          <w:sz w:val="32"/>
          <w:szCs w:val="32"/>
          <w:lang w:val="en-US" w:eastAsia="zh-CN"/>
        </w:rPr>
        <w:t>本周郑州市粉厂面粉出厂价格为3130元/吨，</w:t>
      </w:r>
      <w:r>
        <w:rPr>
          <w:rFonts w:hint="default" w:ascii="仿宋" w:hAnsi="仿宋" w:eastAsia="仿宋"/>
          <w:sz w:val="32"/>
          <w:szCs w:val="32"/>
          <w:lang w:val="en-US" w:eastAsia="zh-CN"/>
        </w:rPr>
        <w:t>与上周持平</w:t>
      </w:r>
      <w:r>
        <w:rPr>
          <w:rFonts w:hint="eastAsia" w:ascii="仿宋" w:hAnsi="仿宋" w:eastAsia="仿宋"/>
          <w:b w:val="0"/>
          <w:bCs/>
          <w:sz w:val="32"/>
          <w:szCs w:val="32"/>
          <w:lang w:val="en-US" w:eastAsia="zh-CN"/>
        </w:rPr>
        <w:t>；安阳为2800元/吨，较上周下跌80元/吨；漯河为2</w:t>
      </w:r>
      <w:r>
        <w:rPr>
          <w:rFonts w:hint="default" w:ascii="仿宋" w:hAnsi="仿宋" w:eastAsia="仿宋"/>
          <w:b w:val="0"/>
          <w:bCs/>
          <w:sz w:val="32"/>
          <w:szCs w:val="32"/>
          <w:lang w:val="en-US" w:eastAsia="zh-CN"/>
        </w:rPr>
        <w:t>6</w:t>
      </w:r>
      <w:r>
        <w:rPr>
          <w:rFonts w:hint="eastAsia" w:ascii="仿宋" w:hAnsi="仿宋" w:eastAsia="仿宋"/>
          <w:b w:val="0"/>
          <w:bCs/>
          <w:sz w:val="32"/>
          <w:szCs w:val="32"/>
          <w:lang w:val="en-US" w:eastAsia="zh-CN"/>
        </w:rPr>
        <w:t>50</w:t>
      </w:r>
      <w:r>
        <w:rPr>
          <w:rFonts w:hint="eastAsia" w:ascii="仿宋" w:hAnsi="仿宋" w:eastAsia="仿宋"/>
          <w:sz w:val="32"/>
          <w:szCs w:val="32"/>
          <w:lang w:val="en-US" w:eastAsia="zh-CN"/>
        </w:rPr>
        <w:t>元/吨，较上周下跌40元/吨；商丘为2920元/吨，</w:t>
      </w:r>
      <w:r>
        <w:rPr>
          <w:rFonts w:hint="eastAsia" w:ascii="仿宋" w:hAnsi="仿宋" w:eastAsia="仿宋"/>
          <w:b w:val="0"/>
          <w:bCs/>
          <w:sz w:val="32"/>
          <w:szCs w:val="32"/>
          <w:lang w:val="en-US" w:eastAsia="zh-CN"/>
        </w:rPr>
        <w:t>较上周下跌50元/吨</w:t>
      </w:r>
      <w:r>
        <w:rPr>
          <w:rFonts w:hint="eastAsia" w:ascii="仿宋" w:hAnsi="仿宋" w:eastAsia="仿宋"/>
          <w:sz w:val="32"/>
          <w:szCs w:val="32"/>
          <w:lang w:val="en-US" w:eastAsia="zh-CN"/>
        </w:rPr>
        <w:t>；周口为3000元/吨，较上周上涨10元/吨。</w:t>
      </w:r>
    </w:p>
    <w:p>
      <w:pPr>
        <w:numPr>
          <w:ilvl w:val="0"/>
          <w:numId w:val="1"/>
        </w:numPr>
        <w:spacing w:line="360" w:lineRule="auto"/>
        <w:ind w:firstLine="640" w:firstLineChars="200"/>
        <w:rPr>
          <w:rFonts w:hint="eastAsia" w:ascii="仿宋" w:hAnsi="仿宋" w:eastAsia="仿宋"/>
          <w:b/>
          <w:sz w:val="32"/>
          <w:szCs w:val="32"/>
        </w:rPr>
      </w:pPr>
      <w:r>
        <w:rPr>
          <w:rFonts w:hint="eastAsia" w:ascii="仿宋" w:hAnsi="仿宋" w:eastAsia="仿宋"/>
          <w:b w:val="0"/>
          <w:bCs/>
          <w:sz w:val="32"/>
          <w:szCs w:val="32"/>
          <w:lang w:val="en-US" w:eastAsia="zh-CN"/>
        </w:rPr>
        <w:t>2月份以来麸皮价格整体呈回落态势，进入3月份后回落幅度加大。据市场反应主要原因是节后猪饲料销售不如预期，饲料企业还在消化节前库存，而麸皮市场供给则随着粉企开机率上升而不断增加。供大需少影响麸皮价格持续走低。监测显示本期郑州市麸皮出厂价格为1990元/吨，较上周下跌50元/吨；安阳为1880元/吨，较上周下跌20元/吨；漯河为1700元/吨，较上周下跌2</w:t>
      </w:r>
      <w:r>
        <w:rPr>
          <w:rFonts w:hint="default" w:ascii="仿宋" w:hAnsi="仿宋" w:eastAsia="仿宋"/>
          <w:b w:val="0"/>
          <w:bCs/>
          <w:sz w:val="32"/>
          <w:szCs w:val="32"/>
          <w:lang w:val="en-US" w:eastAsia="zh-CN"/>
        </w:rPr>
        <w:t>0</w:t>
      </w:r>
      <w:r>
        <w:rPr>
          <w:rFonts w:hint="eastAsia" w:ascii="仿宋" w:hAnsi="仿宋" w:eastAsia="仿宋"/>
          <w:b w:val="0"/>
          <w:bCs/>
          <w:sz w:val="32"/>
          <w:szCs w:val="32"/>
          <w:lang w:val="en-US" w:eastAsia="zh-CN"/>
        </w:rPr>
        <w:t>元/吨；商丘为2100元/吨，较上周上涨10元/吨；周口为1860元/吨，较上周下跌140元/吨。</w:t>
      </w: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在小麦玉米高价差影响下小麦饲用需求强劲仍将是提振麦价强势的主要因素。不过在政策性小麦稳价巨量严准入投拍政策调控下，用粮企业采购心态更趋谨慎，这也决定了小麦市场价格难有大作为。</w:t>
      </w:r>
    </w:p>
    <w:p>
      <w:pPr>
        <w:numPr>
          <w:ilvl w:val="0"/>
          <w:numId w:val="0"/>
        </w:numPr>
        <w:spacing w:line="360" w:lineRule="auto"/>
        <w:ind w:firstLine="640" w:firstLineChars="200"/>
        <w:rPr>
          <w:rFonts w:hint="eastAsia" w:ascii="仿宋" w:hAnsi="仿宋" w:eastAsia="仿宋"/>
          <w:sz w:val="32"/>
          <w:szCs w:val="32"/>
          <w:lang w:val="en-US" w:eastAsia="zh-CN"/>
        </w:rPr>
      </w:pP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20A2317"/>
    <w:rsid w:val="034C3C94"/>
    <w:rsid w:val="03D738C2"/>
    <w:rsid w:val="04203DBE"/>
    <w:rsid w:val="04AE0E28"/>
    <w:rsid w:val="05B317AE"/>
    <w:rsid w:val="061F160B"/>
    <w:rsid w:val="06E56EF7"/>
    <w:rsid w:val="06EC546B"/>
    <w:rsid w:val="07EE6FF2"/>
    <w:rsid w:val="080532E8"/>
    <w:rsid w:val="087844CC"/>
    <w:rsid w:val="092B712E"/>
    <w:rsid w:val="09842527"/>
    <w:rsid w:val="099C4E36"/>
    <w:rsid w:val="0A853AB9"/>
    <w:rsid w:val="0ADE7D0F"/>
    <w:rsid w:val="0BE61ADE"/>
    <w:rsid w:val="0CF55975"/>
    <w:rsid w:val="0E256A38"/>
    <w:rsid w:val="0E9F0F4E"/>
    <w:rsid w:val="0F604F19"/>
    <w:rsid w:val="0F7F1E83"/>
    <w:rsid w:val="0FFF7091"/>
    <w:rsid w:val="105946B6"/>
    <w:rsid w:val="107A0D2C"/>
    <w:rsid w:val="117076EA"/>
    <w:rsid w:val="11A90706"/>
    <w:rsid w:val="13567416"/>
    <w:rsid w:val="14A17120"/>
    <w:rsid w:val="15C27ADA"/>
    <w:rsid w:val="162D2887"/>
    <w:rsid w:val="179727DE"/>
    <w:rsid w:val="182721E0"/>
    <w:rsid w:val="197F2DB3"/>
    <w:rsid w:val="1A782806"/>
    <w:rsid w:val="1B27134C"/>
    <w:rsid w:val="1B6323F1"/>
    <w:rsid w:val="1BCC77BD"/>
    <w:rsid w:val="1BE6174D"/>
    <w:rsid w:val="1CCA5BED"/>
    <w:rsid w:val="1CDA40DA"/>
    <w:rsid w:val="1D396AA3"/>
    <w:rsid w:val="1DBF194F"/>
    <w:rsid w:val="1E302143"/>
    <w:rsid w:val="1F18161D"/>
    <w:rsid w:val="1F246A49"/>
    <w:rsid w:val="20872832"/>
    <w:rsid w:val="20AE187D"/>
    <w:rsid w:val="20C73DAD"/>
    <w:rsid w:val="215D7098"/>
    <w:rsid w:val="216516E7"/>
    <w:rsid w:val="22BE4321"/>
    <w:rsid w:val="244B1AF9"/>
    <w:rsid w:val="24F84FBE"/>
    <w:rsid w:val="25262077"/>
    <w:rsid w:val="27820F8C"/>
    <w:rsid w:val="2817770E"/>
    <w:rsid w:val="28244BF1"/>
    <w:rsid w:val="291103FD"/>
    <w:rsid w:val="29421FFE"/>
    <w:rsid w:val="29CD27ED"/>
    <w:rsid w:val="2AC75391"/>
    <w:rsid w:val="2AD90D21"/>
    <w:rsid w:val="2BB33997"/>
    <w:rsid w:val="2C57071D"/>
    <w:rsid w:val="2D6673C3"/>
    <w:rsid w:val="2F346BE6"/>
    <w:rsid w:val="30622AEB"/>
    <w:rsid w:val="30DC600F"/>
    <w:rsid w:val="31E60687"/>
    <w:rsid w:val="324D214F"/>
    <w:rsid w:val="32C72AA1"/>
    <w:rsid w:val="3345276C"/>
    <w:rsid w:val="34133277"/>
    <w:rsid w:val="347948BB"/>
    <w:rsid w:val="36225BCD"/>
    <w:rsid w:val="36264647"/>
    <w:rsid w:val="36CF2993"/>
    <w:rsid w:val="36D82FC0"/>
    <w:rsid w:val="36EE32D1"/>
    <w:rsid w:val="373E0D0E"/>
    <w:rsid w:val="37F44AF1"/>
    <w:rsid w:val="38540E4D"/>
    <w:rsid w:val="39775A5B"/>
    <w:rsid w:val="399B6AB0"/>
    <w:rsid w:val="39D73F39"/>
    <w:rsid w:val="3ABF544F"/>
    <w:rsid w:val="3B260B1F"/>
    <w:rsid w:val="3C7C3A1D"/>
    <w:rsid w:val="3CA25738"/>
    <w:rsid w:val="3D876A84"/>
    <w:rsid w:val="3DD741CC"/>
    <w:rsid w:val="3DFC188F"/>
    <w:rsid w:val="3EB83FD8"/>
    <w:rsid w:val="3EC302B7"/>
    <w:rsid w:val="40EF2F76"/>
    <w:rsid w:val="41026629"/>
    <w:rsid w:val="41FF3BE7"/>
    <w:rsid w:val="42E1712C"/>
    <w:rsid w:val="45742DBB"/>
    <w:rsid w:val="478A385A"/>
    <w:rsid w:val="478A70FF"/>
    <w:rsid w:val="48D87ECA"/>
    <w:rsid w:val="49815DC6"/>
    <w:rsid w:val="4C3F6284"/>
    <w:rsid w:val="4CDF5392"/>
    <w:rsid w:val="4F095443"/>
    <w:rsid w:val="4F50291A"/>
    <w:rsid w:val="4F87507F"/>
    <w:rsid w:val="501E0748"/>
    <w:rsid w:val="502D7B5E"/>
    <w:rsid w:val="512A6660"/>
    <w:rsid w:val="52E12CFA"/>
    <w:rsid w:val="534E6FB9"/>
    <w:rsid w:val="54025AD2"/>
    <w:rsid w:val="542C5A27"/>
    <w:rsid w:val="553E2F18"/>
    <w:rsid w:val="56794EFE"/>
    <w:rsid w:val="56DA1A24"/>
    <w:rsid w:val="584A0713"/>
    <w:rsid w:val="59381C40"/>
    <w:rsid w:val="59A2092C"/>
    <w:rsid w:val="5A534788"/>
    <w:rsid w:val="5B360529"/>
    <w:rsid w:val="5C624F07"/>
    <w:rsid w:val="5D97106E"/>
    <w:rsid w:val="5D9775D7"/>
    <w:rsid w:val="5DED1E04"/>
    <w:rsid w:val="5F847AD0"/>
    <w:rsid w:val="5FED60B3"/>
    <w:rsid w:val="5FFC14E7"/>
    <w:rsid w:val="61246D94"/>
    <w:rsid w:val="62A334D2"/>
    <w:rsid w:val="651C41BD"/>
    <w:rsid w:val="651E6913"/>
    <w:rsid w:val="65283EC1"/>
    <w:rsid w:val="652D6CB8"/>
    <w:rsid w:val="65857C9C"/>
    <w:rsid w:val="66184855"/>
    <w:rsid w:val="68A400AB"/>
    <w:rsid w:val="6BFE2DE5"/>
    <w:rsid w:val="6C4814C4"/>
    <w:rsid w:val="6C5D3941"/>
    <w:rsid w:val="6CDD1F36"/>
    <w:rsid w:val="6E361751"/>
    <w:rsid w:val="6F7D2215"/>
    <w:rsid w:val="6F8773D6"/>
    <w:rsid w:val="7038375F"/>
    <w:rsid w:val="709B704A"/>
    <w:rsid w:val="72EF0370"/>
    <w:rsid w:val="748556FA"/>
    <w:rsid w:val="770213B6"/>
    <w:rsid w:val="7754378C"/>
    <w:rsid w:val="78205AB2"/>
    <w:rsid w:val="7A056EC1"/>
    <w:rsid w:val="7AB44AC6"/>
    <w:rsid w:val="7ACB0BE2"/>
    <w:rsid w:val="7BD454FA"/>
    <w:rsid w:val="7CE357D8"/>
    <w:rsid w:val="7D775089"/>
    <w:rsid w:val="7DAE6371"/>
    <w:rsid w:val="7DE136AC"/>
    <w:rsid w:val="7E425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Sheet1!$A$2:$A$162</c:f>
              <c:numCache>
                <c:formatCode>yyyy/m/d</c:formatCode>
                <c:ptCount val="156"/>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numCache>
            </c:numRef>
          </c:cat>
          <c:val>
            <c:numRef>
              <c:f>Sheet1!$B$2:$B$162</c:f>
              <c:numCache>
                <c:formatCode>General</c:formatCode>
                <c:ptCount val="156"/>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Sheet1!$A$2:$A$162</c:f>
              <c:numCache>
                <c:formatCode>yyyy/m/d</c:formatCode>
                <c:ptCount val="156"/>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numCache>
            </c:numRef>
          </c:cat>
          <c:val>
            <c:numRef>
              <c:f>Sheet1!$C$2:$C$162</c:f>
              <c:numCache>
                <c:formatCode>General</c:formatCode>
                <c:ptCount val="156"/>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Sheet1!$A$2:$A$162</c:f>
              <c:numCache>
                <c:formatCode>yyyy/m/d</c:formatCode>
                <c:ptCount val="156"/>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numCache>
            </c:numRef>
          </c:cat>
          <c:val>
            <c:numRef>
              <c:f>Sheet1!$D$2:$D$162</c:f>
              <c:numCache>
                <c:formatCode>General</c:formatCode>
                <c:ptCount val="156"/>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270"/>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Sheet1!$A$2:$A$147</c:f>
              <c:numCache>
                <c:formatCode>yyyy/m/d</c:formatCode>
                <c:ptCount val="146"/>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numCache>
            </c:numRef>
          </c:cat>
          <c:val>
            <c:numRef>
              <c:f>Sheet1!$B$2:$B$147</c:f>
              <c:numCache>
                <c:formatCode>General</c:formatCode>
                <c:ptCount val="146"/>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Sheet1!$A$2:$A$147</c:f>
              <c:numCache>
                <c:formatCode>yyyy/m/d</c:formatCode>
                <c:ptCount val="146"/>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numCache>
            </c:numRef>
          </c:cat>
          <c:val>
            <c:numRef>
              <c:f>Sheet1!$C$2:$C$147</c:f>
              <c:numCache>
                <c:formatCode>General</c:formatCode>
                <c:ptCount val="146"/>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270"/>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12</TotalTime>
  <ScaleCrop>false</ScaleCrop>
  <LinksUpToDate>false</LinksUpToDate>
  <CharactersWithSpaces>1914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2021-03-04T00:46:26Z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