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lang w:val="en-US" w:eastAsia="zh-CN"/>
        </w:rPr>
        <w:t xml:space="preserve">  </w:t>
      </w: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3</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在旺盛的饲用需求的推动下本周政策性小麦继续保持着高投放、高成交、高溢价的三高成交状态，河南市场拍卖成交纪录也伴随着投放量增加而再次刷新。原粮价格上涨带来的生产压力无可避免的影响到面粉及麸皮市场，本周河南市场粉价及麸皮价均出现较大涨幅。</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2543</w:t>
      </w:r>
      <w:r>
        <w:rPr>
          <w:rFonts w:hint="eastAsia" w:ascii="仿宋" w:hAnsi="仿宋" w:eastAsia="仿宋"/>
          <w:sz w:val="32"/>
          <w:szCs w:val="32"/>
        </w:rPr>
        <w:t>元/吨，较上</w:t>
      </w:r>
      <w:r>
        <w:rPr>
          <w:rFonts w:hint="eastAsia" w:ascii="仿宋" w:hAnsi="仿宋" w:eastAsia="仿宋"/>
          <w:sz w:val="32"/>
          <w:szCs w:val="32"/>
          <w:lang w:val="en-US" w:eastAsia="zh-CN"/>
        </w:rPr>
        <w:t>周上涨2.6%</w:t>
      </w:r>
      <w:r>
        <w:rPr>
          <w:rFonts w:hint="eastAsia" w:ascii="仿宋" w:hAnsi="仿宋" w:eastAsia="仿宋"/>
          <w:sz w:val="32"/>
          <w:szCs w:val="32"/>
        </w:rPr>
        <w:t>；面粉出厂均价为</w:t>
      </w:r>
      <w:r>
        <w:rPr>
          <w:rFonts w:hint="eastAsia" w:ascii="仿宋" w:hAnsi="仿宋" w:eastAsia="仿宋"/>
          <w:sz w:val="32"/>
          <w:szCs w:val="32"/>
          <w:lang w:val="en-US" w:eastAsia="zh-CN"/>
        </w:rPr>
        <w:t>3043</w:t>
      </w:r>
      <w:r>
        <w:rPr>
          <w:rFonts w:hint="eastAsia" w:ascii="仿宋" w:hAnsi="仿宋" w:eastAsia="仿宋"/>
          <w:sz w:val="32"/>
          <w:szCs w:val="32"/>
        </w:rPr>
        <w:t>元/吨，较上</w:t>
      </w:r>
      <w:r>
        <w:rPr>
          <w:rFonts w:hint="eastAsia" w:ascii="仿宋" w:hAnsi="仿宋" w:eastAsia="仿宋"/>
          <w:sz w:val="32"/>
          <w:szCs w:val="32"/>
          <w:lang w:val="en-US" w:eastAsia="zh-CN"/>
        </w:rPr>
        <w:t>周上涨1.6%</w:t>
      </w:r>
      <w:r>
        <w:rPr>
          <w:rFonts w:hint="eastAsia" w:ascii="仿宋" w:hAnsi="仿宋" w:eastAsia="仿宋"/>
          <w:sz w:val="32"/>
          <w:szCs w:val="32"/>
        </w:rPr>
        <w:t>；麸皮出厂价为</w:t>
      </w:r>
      <w:r>
        <w:rPr>
          <w:rFonts w:hint="eastAsia" w:ascii="仿宋" w:hAnsi="仿宋" w:eastAsia="仿宋"/>
          <w:sz w:val="32"/>
          <w:szCs w:val="32"/>
          <w:lang w:val="en-US" w:eastAsia="zh-CN"/>
        </w:rPr>
        <w:t>2027</w:t>
      </w:r>
      <w:r>
        <w:rPr>
          <w:rFonts w:hint="eastAsia" w:ascii="仿宋" w:hAnsi="仿宋" w:eastAsia="仿宋"/>
          <w:sz w:val="32"/>
          <w:szCs w:val="32"/>
        </w:rPr>
        <w:t>元/吨，较上</w:t>
      </w:r>
      <w:r>
        <w:rPr>
          <w:rFonts w:hint="eastAsia" w:ascii="仿宋" w:hAnsi="仿宋" w:eastAsia="仿宋"/>
          <w:sz w:val="32"/>
          <w:szCs w:val="32"/>
          <w:lang w:val="en-US" w:eastAsia="zh-CN"/>
        </w:rPr>
        <w:t>周上涨4.1%</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lang w:val="en-US" w:eastAsia="zh-CN"/>
        </w:rPr>
        <w:t xml:space="preserve"> </w:t>
      </w: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考虑到拍卖市场竞价踊跃导致交易时长增加，本周河南政策性小麦拍卖提至周二进行。监测显示本周河南政策性小麦投拍继续保持三高（高投放、高成交、高溢价）状态，但成交均价较上周有所下降。数据统计显示本期河南政策性小麦投放243.19万吨，成交242.96万吨，成交率99.91%，成交均价达2435元/吨，较上期下降33元/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与河南市场表现相同，1月20日的政策性小麦交易中湖北、江苏、安徽、山东四省政策性小麦在继续保持100%成交率同时成交均价亦明显下降，均价降幅在60-110元/吨。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拍卖溢价下降同时流通市场小麦价格在经过冲高后也出现下滑。据市场反应目前华北厂家主流报价在2560-2640元/吨，均较上周有小幅回落。比如金沙河就在日前将收购价调整为2600元/吨，较前期高点下调40元/吨。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对于后市笔者以为小麦在玉米带动下虽仍将保持强势，但市场采购心态逐渐回归理性的机率在加大。首先是巨量市场供给稳定市场需求。截至1月20日，一月份全国政策性小麦累计成交量已超一千万吨，巨大市场成交能有效满足制粉及饲用转化需求。其次春节市场变数较多。众所周知春节前后很长一段时间内商品物流都会受到长假因素影响，物流周期拉长将拖慢企业资金周转，影响企业运营风险加大。同时春节期间国家对事关民生的物资调控、监管力度较大，企业继续抢购也将面临较大的政策风险。再次是与玉米相比目前小麦产业的产业链短，价值链还处于低端，也就预示着市场可获利空间相对有限，同时小麦玉米二者政治属性高下不同，对于口粮国家调控力度明显偏大，因此市场资本长期关注小麦概率不大。</w:t>
      </w:r>
    </w:p>
    <w:p>
      <w:p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全国农业气象周报显示，上周的寒潮天气虽然对农业生产带来了一定影响，但对于北方冬小麦来说，由于前期抗寒锻炼充分，其影响十分有限。本周气温将逐步回升，利于冬小麦和油菜等作物恢复生产。最新农作物生长发育状况监控显示</w:t>
      </w:r>
      <w:r>
        <w:rPr>
          <w:rFonts w:hint="default" w:ascii="仿宋" w:hAnsi="仿宋" w:eastAsia="仿宋"/>
          <w:sz w:val="32"/>
          <w:szCs w:val="32"/>
          <w:lang w:val="en-US" w:eastAsia="zh-CN"/>
        </w:rPr>
        <w:t>目前</w:t>
      </w:r>
      <w:r>
        <w:rPr>
          <w:rFonts w:hint="eastAsia" w:ascii="仿宋" w:hAnsi="仿宋" w:eastAsia="仿宋"/>
          <w:sz w:val="32"/>
          <w:szCs w:val="32"/>
          <w:lang w:val="en-US" w:eastAsia="zh-CN"/>
        </w:rPr>
        <w:t>西北地区、华北以及黄淮大部冬小麦处于越冬期，江淮、江汉和西南地区冬小麦大部处于分蘖期，云南局地拔节抽穗。全国冬小麦一、二类苗占比分别为20%、79%，一、二类苗占比与上周持平。</w:t>
      </w:r>
    </w:p>
    <w:p>
      <w:pPr>
        <w:numPr>
          <w:ilvl w:val="0"/>
          <w:numId w:val="1"/>
        </w:num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国家发改委综合司司长严鹏程1月19日</w:t>
      </w:r>
      <w:r>
        <w:rPr>
          <w:rFonts w:hint="eastAsia" w:ascii="仿宋" w:hAnsi="仿宋" w:eastAsia="仿宋"/>
          <w:sz w:val="32"/>
          <w:szCs w:val="32"/>
          <w:lang w:val="en-US" w:eastAsia="zh-CN"/>
        </w:rPr>
        <w:t>在接受采访时表示</w:t>
      </w:r>
      <w:r>
        <w:rPr>
          <w:rFonts w:hint="default" w:ascii="仿宋" w:hAnsi="仿宋" w:eastAsia="仿宋"/>
          <w:sz w:val="32"/>
          <w:szCs w:val="32"/>
          <w:lang w:val="en-US" w:eastAsia="zh-CN"/>
        </w:rPr>
        <w:t>2021年宏观政策不会出现“急转弯”</w:t>
      </w:r>
      <w:r>
        <w:rPr>
          <w:rFonts w:hint="eastAsia" w:ascii="仿宋" w:hAnsi="仿宋" w:eastAsia="仿宋"/>
          <w:sz w:val="32"/>
          <w:szCs w:val="32"/>
          <w:lang w:val="en-US" w:eastAsia="zh-CN"/>
        </w:rPr>
        <w:t>。</w:t>
      </w:r>
      <w:r>
        <w:rPr>
          <w:rFonts w:hint="default" w:ascii="仿宋" w:hAnsi="仿宋" w:eastAsia="仿宋"/>
          <w:sz w:val="32"/>
          <w:szCs w:val="32"/>
          <w:lang w:val="en-US" w:eastAsia="zh-CN"/>
        </w:rPr>
        <w:t>严鹏程</w:t>
      </w:r>
      <w:r>
        <w:rPr>
          <w:rFonts w:hint="eastAsia" w:ascii="仿宋" w:hAnsi="仿宋" w:eastAsia="仿宋"/>
          <w:sz w:val="32"/>
          <w:szCs w:val="32"/>
          <w:lang w:val="en-US" w:eastAsia="zh-CN"/>
        </w:rPr>
        <w:t>强调国家</w:t>
      </w:r>
      <w:r>
        <w:rPr>
          <w:rFonts w:hint="default" w:ascii="仿宋" w:hAnsi="仿宋" w:eastAsia="仿宋"/>
          <w:sz w:val="32"/>
          <w:szCs w:val="32"/>
          <w:lang w:val="en-US" w:eastAsia="zh-CN"/>
        </w:rPr>
        <w:t>制定实施宏观政策的主要目是为了确保经济能够平稳健康运行。下一步，</w:t>
      </w:r>
      <w:r>
        <w:rPr>
          <w:rFonts w:hint="eastAsia" w:ascii="仿宋" w:hAnsi="仿宋" w:eastAsia="仿宋"/>
          <w:sz w:val="32"/>
          <w:szCs w:val="32"/>
          <w:lang w:val="en-US" w:eastAsia="zh-CN"/>
        </w:rPr>
        <w:t>国家</w:t>
      </w:r>
      <w:r>
        <w:rPr>
          <w:rFonts w:hint="default" w:ascii="仿宋" w:hAnsi="仿宋" w:eastAsia="仿宋"/>
          <w:sz w:val="32"/>
          <w:szCs w:val="32"/>
          <w:lang w:val="en-US" w:eastAsia="zh-CN"/>
        </w:rPr>
        <w:t>将坚持稳中求进工作总基调，继续按照“六稳”“六保”的要求，根据经济运行实际情况，做好政策进退之间的平衡，应对好各种不确定性。</w:t>
      </w:r>
      <w:r>
        <w:rPr>
          <w:rFonts w:hint="eastAsia" w:ascii="仿宋" w:hAnsi="仿宋" w:eastAsia="仿宋"/>
          <w:sz w:val="32"/>
          <w:szCs w:val="32"/>
          <w:lang w:val="en-US" w:eastAsia="zh-CN"/>
        </w:rPr>
        <w:t>由此可以预见今年国家粮食调控政策主基调将不会出现大幅调整,今后一段时间粮食调控仍将围绕“保供稳价”这一目标开展。</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玉米市场价格持续快速拉高在不断强化着持粮主体惜售心理的同时也推高了饲料养殖企业的采购意愿，供需矛盾短期无法得到解决的情况下饲料养殖企业将采购需求转向小麦，推高小麦价格。另外近期政策性小麦高溢价成交也对小麦价格底部形成了较强支撑。据国家粮</w:t>
      </w:r>
      <w:bookmarkStart w:id="0" w:name="_GoBack"/>
      <w:bookmarkEnd w:id="0"/>
      <w:r>
        <w:rPr>
          <w:rFonts w:hint="eastAsia" w:ascii="仿宋" w:hAnsi="仿宋" w:eastAsia="仿宋"/>
          <w:sz w:val="32"/>
          <w:szCs w:val="32"/>
          <w:lang w:val="en-US" w:eastAsia="zh-CN"/>
        </w:rPr>
        <w:t>油统计信息平台监测显示，截至1月18日郑州市普通小麦进厂价格为2550元/吨，较上周上涨2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安阳为2580元/吨，较上周上涨7</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漯河为2580元/吨，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；商丘为2550元/吨，较上周上涨5</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元/吨；周口为2500元/吨，较上周上涨4</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b w:val="0"/>
          <w:bCs/>
          <w:sz w:val="32"/>
          <w:szCs w:val="32"/>
          <w:lang w:val="en-US" w:eastAsia="zh-CN"/>
        </w:rPr>
        <w:t>随着小麦市场价格上涨到新的平台，面粉价格本周也随之出现明显上涨。另外市场对春节期间物流停运的担心也是刺激粉价上涨的一个因素，面粉经销商加大备货提振市场购销，也刺激着粉价上涨。监测显示，目前郑州市粉厂面粉出厂价格为3110元/吨，较上周上涨10元/吨；安阳为2980元/吨，较上周上涨200元/吨；漯河为2</w:t>
      </w:r>
      <w:r>
        <w:rPr>
          <w:rFonts w:hint="default" w:ascii="仿宋" w:hAnsi="仿宋" w:eastAsia="仿宋"/>
          <w:b w:val="0"/>
          <w:bCs/>
          <w:sz w:val="32"/>
          <w:szCs w:val="32"/>
          <w:lang w:val="en-US" w:eastAsia="zh-CN"/>
        </w:rPr>
        <w:t>6</w:t>
      </w:r>
      <w:r>
        <w:rPr>
          <w:rFonts w:hint="eastAsia" w:ascii="仿宋" w:hAnsi="仿宋" w:eastAsia="仿宋"/>
          <w:b w:val="0"/>
          <w:bCs/>
          <w:sz w:val="32"/>
          <w:szCs w:val="32"/>
          <w:lang w:val="en-US" w:eastAsia="zh-CN"/>
        </w:rPr>
        <w:t>60</w:t>
      </w:r>
      <w:r>
        <w:rPr>
          <w:rFonts w:hint="eastAsia" w:ascii="仿宋" w:hAnsi="仿宋" w:eastAsia="仿宋"/>
          <w:sz w:val="32"/>
          <w:szCs w:val="32"/>
          <w:lang w:val="en-US" w:eastAsia="zh-CN"/>
        </w:rPr>
        <w:t>元/吨，较上周上涨20元/吨；商丘为2900元/吨，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；周口为2970元/吨，较上周上涨40元/吨。</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小麦价格走高影响企业制粉利润，粉企在提高粉价同时也借助当前粮价上涨的时机继续提高麸皮价格，以对冲原粮上涨带来的生产压力。监测显示目前郑州市麸皮出厂价格为2020元/吨，较上周上涨30元/吨；安阳为2100元/吨，较上周上涨120元/吨；漯河为1620元/吨，较上周上涨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元/吨；商丘为2150元/吨，较上周上涨3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元/吨；周口为2000元/吨，较上周上涨90元/吨。</w:t>
      </w:r>
    </w:p>
    <w:p>
      <w:pPr>
        <w:numPr>
          <w:ilvl w:val="0"/>
          <w:numId w:val="0"/>
        </w:num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目前市场有小麦要想稳，玉米要先稳的观点，对此笔者是赞同的。目前来看随着河北、东北疫情逐步得到控制，疫情因素对小麦市场的影响在减弱。同时随着国家相关部委关于春节期间保供政策的出台，春节期间物流因素的影响也在减弱。由此玉米因素在影响小麦市场稳定的变量在增加。</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笔者以为经过这半个月的疯涨目前玉米头部已现，短期内将逐步回稳。其一当前玉米价格已处高位，高价抑制及与高价带来的一系列问题已经相当严重，继续再涨空间有限。同时也有市场观点认为当前玉米价格的极端高位本身就是最大的利空。其二是大规模替代拉低玉米需求。去年十月份以来通过小麦拍卖市场流向饲料养殖业的小麦数量保守估计在千万吨，特别是今年以来近一千万吨的成交中就有大半流行饲料养殖业。大量小麦流入饲料养殖业必将冲击玉米市场需求。其三是前期的疫情导致节后需求前置，近期随着河北、东北疫情被有效控制，市场对后市看空预期在加大。</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综上所述，笔者以为短期内在玉米的影响下小麦市场虽仍将保持强势，但其上涨的动力已然不足。</w:t>
      </w:r>
    </w:p>
    <w:p>
      <w:pPr>
        <w:numPr>
          <w:ilvl w:val="0"/>
          <w:numId w:val="0"/>
        </w:numPr>
        <w:spacing w:line="360" w:lineRule="auto"/>
        <w:ind w:firstLine="640" w:firstLineChars="200"/>
        <w:rPr>
          <w:rFonts w:hint="eastAsia" w:ascii="仿宋" w:hAnsi="仿宋" w:eastAsia="仿宋"/>
          <w:sz w:val="32"/>
          <w:szCs w:val="32"/>
          <w:lang w:val="en-US" w:eastAsia="zh-CN"/>
        </w:rPr>
      </w:pPr>
    </w:p>
    <w:p>
      <w:pPr>
        <w:numPr>
          <w:ilvl w:val="0"/>
          <w:numId w:val="0"/>
        </w:numPr>
        <w:spacing w:line="360" w:lineRule="auto"/>
        <w:ind w:firstLine="640" w:firstLineChars="200"/>
        <w:rPr>
          <w:rFonts w:hint="eastAsia" w:ascii="仿宋" w:hAnsi="仿宋" w:eastAsia="仿宋"/>
          <w:sz w:val="32"/>
          <w:szCs w:val="32"/>
          <w:lang w:val="en-US" w:eastAsia="zh-CN"/>
        </w:rPr>
      </w:pPr>
    </w:p>
    <w:p>
      <w:pPr>
        <w:numPr>
          <w:ilvl w:val="0"/>
          <w:numId w:val="0"/>
        </w:numPr>
        <w:spacing w:line="360" w:lineRule="auto"/>
        <w:ind w:firstLine="640" w:firstLineChars="200"/>
        <w:rPr>
          <w:rFonts w:hint="eastAsia" w:ascii="仿宋" w:hAnsi="仿宋" w:eastAsia="仿宋"/>
          <w:sz w:val="32"/>
          <w:szCs w:val="32"/>
          <w:lang w:val="en-US" w:eastAsia="zh-CN"/>
        </w:rPr>
      </w:pP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0A2317"/>
    <w:rsid w:val="03D738C2"/>
    <w:rsid w:val="04203DBE"/>
    <w:rsid w:val="04AE0E28"/>
    <w:rsid w:val="05B317AE"/>
    <w:rsid w:val="061F160B"/>
    <w:rsid w:val="06E56EF7"/>
    <w:rsid w:val="07EE6FF2"/>
    <w:rsid w:val="080532E8"/>
    <w:rsid w:val="087844CC"/>
    <w:rsid w:val="092B712E"/>
    <w:rsid w:val="09842527"/>
    <w:rsid w:val="099C4E36"/>
    <w:rsid w:val="0A853AB9"/>
    <w:rsid w:val="0CF55975"/>
    <w:rsid w:val="0E256A38"/>
    <w:rsid w:val="0E9F0F4E"/>
    <w:rsid w:val="0F604F19"/>
    <w:rsid w:val="0F7F1E83"/>
    <w:rsid w:val="0FFF7091"/>
    <w:rsid w:val="107A0D2C"/>
    <w:rsid w:val="117076EA"/>
    <w:rsid w:val="13567416"/>
    <w:rsid w:val="14A17120"/>
    <w:rsid w:val="15C27ADA"/>
    <w:rsid w:val="162D2887"/>
    <w:rsid w:val="179727DE"/>
    <w:rsid w:val="182721E0"/>
    <w:rsid w:val="197F2DB3"/>
    <w:rsid w:val="1B27134C"/>
    <w:rsid w:val="1B6323F1"/>
    <w:rsid w:val="1BCC77BD"/>
    <w:rsid w:val="1CDA40DA"/>
    <w:rsid w:val="1D396AA3"/>
    <w:rsid w:val="1E302143"/>
    <w:rsid w:val="1F18161D"/>
    <w:rsid w:val="1F246A49"/>
    <w:rsid w:val="20872832"/>
    <w:rsid w:val="20AE187D"/>
    <w:rsid w:val="20C73DAD"/>
    <w:rsid w:val="215D7098"/>
    <w:rsid w:val="216516E7"/>
    <w:rsid w:val="22BE4321"/>
    <w:rsid w:val="244B1AF9"/>
    <w:rsid w:val="24F84FBE"/>
    <w:rsid w:val="25262077"/>
    <w:rsid w:val="27820F8C"/>
    <w:rsid w:val="2817770E"/>
    <w:rsid w:val="28244BF1"/>
    <w:rsid w:val="29421FFE"/>
    <w:rsid w:val="29CD27ED"/>
    <w:rsid w:val="2AC75391"/>
    <w:rsid w:val="2AD90D21"/>
    <w:rsid w:val="2C57071D"/>
    <w:rsid w:val="2F346BE6"/>
    <w:rsid w:val="30622AEB"/>
    <w:rsid w:val="30DC600F"/>
    <w:rsid w:val="31E60687"/>
    <w:rsid w:val="324D214F"/>
    <w:rsid w:val="32C72AA1"/>
    <w:rsid w:val="3345276C"/>
    <w:rsid w:val="36264647"/>
    <w:rsid w:val="36CF2993"/>
    <w:rsid w:val="36D82FC0"/>
    <w:rsid w:val="36EE32D1"/>
    <w:rsid w:val="38540E4D"/>
    <w:rsid w:val="39775A5B"/>
    <w:rsid w:val="399B6AB0"/>
    <w:rsid w:val="3ABF544F"/>
    <w:rsid w:val="3B260B1F"/>
    <w:rsid w:val="3C7C3A1D"/>
    <w:rsid w:val="3CA25738"/>
    <w:rsid w:val="3D876A84"/>
    <w:rsid w:val="3DFC188F"/>
    <w:rsid w:val="3EB83FD8"/>
    <w:rsid w:val="40EF2F76"/>
    <w:rsid w:val="41026629"/>
    <w:rsid w:val="45742DBB"/>
    <w:rsid w:val="478A385A"/>
    <w:rsid w:val="478A70FF"/>
    <w:rsid w:val="48D87ECA"/>
    <w:rsid w:val="49815DC6"/>
    <w:rsid w:val="4C3F6284"/>
    <w:rsid w:val="4F095443"/>
    <w:rsid w:val="4F50291A"/>
    <w:rsid w:val="501E0748"/>
    <w:rsid w:val="502D7B5E"/>
    <w:rsid w:val="512A6660"/>
    <w:rsid w:val="52E12CFA"/>
    <w:rsid w:val="534E6FB9"/>
    <w:rsid w:val="54025AD2"/>
    <w:rsid w:val="542C5A27"/>
    <w:rsid w:val="553E2F18"/>
    <w:rsid w:val="56794EFE"/>
    <w:rsid w:val="584A0713"/>
    <w:rsid w:val="59381C40"/>
    <w:rsid w:val="59A2092C"/>
    <w:rsid w:val="5A534788"/>
    <w:rsid w:val="5B360529"/>
    <w:rsid w:val="5C624F07"/>
    <w:rsid w:val="5D9775D7"/>
    <w:rsid w:val="5F847AD0"/>
    <w:rsid w:val="5FFC14E7"/>
    <w:rsid w:val="62A334D2"/>
    <w:rsid w:val="651C41BD"/>
    <w:rsid w:val="651E6913"/>
    <w:rsid w:val="652D6CB8"/>
    <w:rsid w:val="65857C9C"/>
    <w:rsid w:val="66184855"/>
    <w:rsid w:val="68A400AB"/>
    <w:rsid w:val="6BFE2DE5"/>
    <w:rsid w:val="6C5D3941"/>
    <w:rsid w:val="6F7D2215"/>
    <w:rsid w:val="6F8773D6"/>
    <w:rsid w:val="7038375F"/>
    <w:rsid w:val="709B704A"/>
    <w:rsid w:val="72EF0370"/>
    <w:rsid w:val="748556FA"/>
    <w:rsid w:val="770213B6"/>
    <w:rsid w:val="7754378C"/>
    <w:rsid w:val="7A056EC1"/>
    <w:rsid w:val="7BD454FA"/>
    <w:rsid w:val="7CE357D8"/>
    <w:rsid w:val="7D775089"/>
    <w:rsid w:val="7DAE6371"/>
    <w:rsid w:val="7DE13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Sheet1!$A$2:$A$156</c:f>
              <c:numCache>
                <c:formatCode>yyyy/m/d</c:formatCode>
                <c:ptCount val="15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numCache>
            </c:numRef>
          </c:cat>
          <c:val>
            <c:numRef>
              <c:f>Sheet1!$B$2:$B$156</c:f>
              <c:numCache>
                <c:formatCode>General</c:formatCode>
                <c:ptCount val="150"/>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Sheet1!$A$2:$A$156</c:f>
              <c:numCache>
                <c:formatCode>yyyy/m/d</c:formatCode>
                <c:ptCount val="15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numCache>
            </c:numRef>
          </c:cat>
          <c:val>
            <c:numRef>
              <c:f>Sheet1!$C$2:$C$156</c:f>
              <c:numCache>
                <c:formatCode>General</c:formatCode>
                <c:ptCount val="150"/>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Sheet1!$A$2:$A$156</c:f>
              <c:numCache>
                <c:formatCode>yyyy/m/d</c:formatCode>
                <c:ptCount val="15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numCache>
            </c:numRef>
          </c:cat>
          <c:val>
            <c:numRef>
              <c:f>Sheet1!$D$2:$D$156</c:f>
              <c:numCache>
                <c:formatCode>General</c:formatCode>
                <c:ptCount val="150"/>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28"/>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Sheet1!$A$2:$A$142</c:f>
              <c:numCache>
                <c:formatCode>yyyy/m/d</c:formatCode>
                <c:ptCount val="141"/>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numCache>
            </c:numRef>
          </c:cat>
          <c:val>
            <c:numRef>
              <c:f>Sheet1!$B$2:$B$142</c:f>
              <c:numCache>
                <c:formatCode>General</c:formatCode>
                <c:ptCount val="141"/>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Sheet1!$A$2:$A$142</c:f>
              <c:numCache>
                <c:formatCode>yyyy/m/d</c:formatCode>
                <c:ptCount val="141"/>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numCache>
            </c:numRef>
          </c:cat>
          <c:val>
            <c:numRef>
              <c:f>Sheet1!$C$2:$C$142</c:f>
              <c:numCache>
                <c:formatCode>General</c:formatCode>
                <c:ptCount val="141"/>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28"/>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5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3</TotalTime>
  <ScaleCrop>false</ScaleCrop>
  <LinksUpToDate>false</LinksUpToDate>
  <CharactersWithSpaces>1914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2021-01-21T00:57:13Z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