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bCs/>
          <w:color w:val="000000"/>
          <w:sz w:val="44"/>
          <w:szCs w:val="44"/>
        </w:rPr>
      </w:pPr>
      <w:r>
        <w:rPr>
          <w:rFonts w:hint="eastAsia" w:ascii="宋体" w:hAnsi="宋体" w:eastAsia="宋体"/>
          <w:b/>
          <w:bCs/>
          <w:color w:val="000000"/>
          <w:sz w:val="44"/>
          <w:szCs w:val="44"/>
          <w:lang w:val="en-US" w:eastAsia="zh-CN"/>
        </w:rPr>
        <w:t xml:space="preserve">  </w:t>
      </w:r>
      <w:r>
        <w:rPr>
          <w:rFonts w:hint="eastAsia" w:ascii="宋体" w:hAnsi="宋体" w:eastAsia="宋体"/>
          <w:b/>
          <w:bCs/>
          <w:color w:val="000000"/>
          <w:sz w:val="44"/>
          <w:szCs w:val="44"/>
        </w:rPr>
        <w:t>20</w:t>
      </w:r>
      <w:r>
        <w:rPr>
          <w:rFonts w:hint="eastAsia" w:ascii="宋体" w:hAnsi="宋体" w:eastAsia="宋体"/>
          <w:b/>
          <w:bCs/>
          <w:color w:val="000000"/>
          <w:sz w:val="44"/>
          <w:szCs w:val="44"/>
          <w:lang w:val="en-US" w:eastAsia="zh-CN"/>
        </w:rPr>
        <w:t>21</w:t>
      </w:r>
      <w:r>
        <w:rPr>
          <w:rFonts w:hint="eastAsia" w:ascii="宋体" w:hAnsi="宋体" w:eastAsia="宋体"/>
          <w:b/>
          <w:bCs/>
          <w:color w:val="000000"/>
          <w:sz w:val="44"/>
          <w:szCs w:val="44"/>
        </w:rPr>
        <w:t>年第</w:t>
      </w:r>
      <w:r>
        <w:rPr>
          <w:rFonts w:hint="eastAsia" w:ascii="宋体" w:hAnsi="宋体" w:eastAsia="宋体"/>
          <w:b/>
          <w:bCs/>
          <w:color w:val="000000"/>
          <w:sz w:val="44"/>
          <w:szCs w:val="44"/>
          <w:lang w:val="en-US" w:eastAsia="zh-CN"/>
        </w:rPr>
        <w:t>2</w:t>
      </w:r>
      <w:r>
        <w:rPr>
          <w:rFonts w:hint="eastAsia" w:ascii="宋体" w:hAnsi="宋体" w:eastAsia="宋体"/>
          <w:b/>
          <w:bCs/>
          <w:color w:val="000000"/>
          <w:sz w:val="44"/>
          <w:szCs w:val="44"/>
        </w:rPr>
        <w:t>周河南小麦市场行情分析</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rPr>
          <w:rFonts w:hint="default" w:ascii="Arial" w:hAnsi="Arial" w:eastAsia="宋体" w:cs="Arial"/>
          <w:i w:val="0"/>
          <w:caps w:val="0"/>
          <w:color w:val="333333"/>
          <w:spacing w:val="0"/>
          <w:sz w:val="21"/>
          <w:szCs w:val="21"/>
          <w:shd w:val="clear" w:fill="FFFFFF"/>
          <w:lang w:val="en-US"/>
        </w:rPr>
      </w:pPr>
      <w:r>
        <w:rPr>
          <w:rFonts w:hint="eastAsia" w:ascii="仿宋" w:hAnsi="仿宋" w:eastAsia="仿宋"/>
          <w:sz w:val="32"/>
          <w:szCs w:val="32"/>
          <w:lang w:val="en-US" w:eastAsia="zh-CN"/>
        </w:rPr>
        <w:t>在饲料企业加大采购、疫情影响扩大、春节备货开始等因素相互叠加影响下本周小麦市场保持强势运行，疫情中心区域河北三市粉企提价收粮带动华北麦价涨幅加大。玉米价格不断攀高，小麦饲用需求再增，制粉、养殖企业进场抢购，拍卖市场成交创造历史记录。</w:t>
      </w:r>
    </w:p>
    <w:p>
      <w:pPr>
        <w:spacing w:line="360" w:lineRule="auto"/>
        <w:ind w:firstLine="640" w:firstLineChars="200"/>
        <w:rPr>
          <w:rFonts w:hint="eastAsia" w:ascii="仿宋" w:hAnsi="仿宋" w:eastAsia="仿宋"/>
          <w:i/>
          <w:iCs/>
          <w:color w:val="0000FF"/>
          <w:sz w:val="32"/>
          <w:szCs w:val="32"/>
        </w:rPr>
      </w:pPr>
      <w:r>
        <w:rPr>
          <w:rFonts w:hint="eastAsia" w:ascii="仿宋" w:hAnsi="仿宋" w:eastAsia="仿宋"/>
          <w:sz w:val="32"/>
          <w:szCs w:val="32"/>
        </w:rPr>
        <w:t>根据国家粮油信息统计报表显示，本周河南省小麦原粮进厂均价为</w:t>
      </w:r>
      <w:r>
        <w:rPr>
          <w:rFonts w:hint="eastAsia" w:ascii="仿宋" w:hAnsi="仿宋" w:eastAsia="仿宋"/>
          <w:sz w:val="32"/>
          <w:szCs w:val="32"/>
          <w:lang w:val="en-US" w:eastAsia="zh-CN"/>
        </w:rPr>
        <w:t>2479</w:t>
      </w:r>
      <w:r>
        <w:rPr>
          <w:rFonts w:hint="eastAsia" w:ascii="仿宋" w:hAnsi="仿宋" w:eastAsia="仿宋"/>
          <w:sz w:val="32"/>
          <w:szCs w:val="32"/>
        </w:rPr>
        <w:t>元/吨，较上</w:t>
      </w:r>
      <w:r>
        <w:rPr>
          <w:rFonts w:hint="eastAsia" w:ascii="仿宋" w:hAnsi="仿宋" w:eastAsia="仿宋"/>
          <w:sz w:val="32"/>
          <w:szCs w:val="32"/>
          <w:lang w:val="en-US" w:eastAsia="zh-CN"/>
        </w:rPr>
        <w:t>周上涨0.5%</w:t>
      </w:r>
      <w:r>
        <w:rPr>
          <w:rFonts w:hint="eastAsia" w:ascii="仿宋" w:hAnsi="仿宋" w:eastAsia="仿宋"/>
          <w:sz w:val="32"/>
          <w:szCs w:val="32"/>
        </w:rPr>
        <w:t>；面粉出厂均价为</w:t>
      </w:r>
      <w:r>
        <w:rPr>
          <w:rFonts w:hint="eastAsia" w:ascii="仿宋" w:hAnsi="仿宋" w:eastAsia="仿宋"/>
          <w:sz w:val="32"/>
          <w:szCs w:val="32"/>
          <w:lang w:val="en-US" w:eastAsia="zh-CN"/>
        </w:rPr>
        <w:t>2994</w:t>
      </w:r>
      <w:r>
        <w:rPr>
          <w:rFonts w:hint="eastAsia" w:ascii="仿宋" w:hAnsi="仿宋" w:eastAsia="仿宋"/>
          <w:sz w:val="32"/>
          <w:szCs w:val="32"/>
        </w:rPr>
        <w:t>元/吨，较上</w:t>
      </w:r>
      <w:r>
        <w:rPr>
          <w:rFonts w:hint="eastAsia" w:ascii="仿宋" w:hAnsi="仿宋" w:eastAsia="仿宋"/>
          <w:sz w:val="32"/>
          <w:szCs w:val="32"/>
          <w:lang w:val="en-US" w:eastAsia="zh-CN"/>
        </w:rPr>
        <w:t>周上涨0.1%</w:t>
      </w:r>
      <w:r>
        <w:rPr>
          <w:rFonts w:hint="eastAsia" w:ascii="仿宋" w:hAnsi="仿宋" w:eastAsia="仿宋"/>
          <w:sz w:val="32"/>
          <w:szCs w:val="32"/>
        </w:rPr>
        <w:t>；麸皮出厂价为</w:t>
      </w:r>
      <w:r>
        <w:rPr>
          <w:rFonts w:hint="eastAsia" w:ascii="仿宋" w:hAnsi="仿宋" w:eastAsia="仿宋"/>
          <w:sz w:val="32"/>
          <w:szCs w:val="32"/>
          <w:lang w:val="en-US" w:eastAsia="zh-CN"/>
        </w:rPr>
        <w:t>1947</w:t>
      </w:r>
      <w:r>
        <w:rPr>
          <w:rFonts w:hint="eastAsia" w:ascii="仿宋" w:hAnsi="仿宋" w:eastAsia="仿宋"/>
          <w:sz w:val="32"/>
          <w:szCs w:val="32"/>
        </w:rPr>
        <w:t>元/吨，较上</w:t>
      </w:r>
      <w:r>
        <w:rPr>
          <w:rFonts w:hint="eastAsia" w:ascii="仿宋" w:hAnsi="仿宋" w:eastAsia="仿宋"/>
          <w:sz w:val="32"/>
          <w:szCs w:val="32"/>
          <w:lang w:val="en-US" w:eastAsia="zh-CN"/>
        </w:rPr>
        <w:t>周上涨1.4%</w:t>
      </w:r>
      <w:r>
        <w:rPr>
          <w:rFonts w:hint="default" w:ascii="仿宋" w:hAnsi="仿宋" w:eastAsia="仿宋"/>
          <w:sz w:val="32"/>
          <w:szCs w:val="32"/>
          <w:lang w:val="en-US" w:eastAsia="zh-CN"/>
        </w:rPr>
        <w:t>。</w:t>
      </w:r>
    </w:p>
    <w:p>
      <w:pPr>
        <w:spacing w:line="360" w:lineRule="auto"/>
        <w:rPr>
          <w:rFonts w:hint="eastAsia" w:ascii="仿宋" w:hAnsi="仿宋" w:eastAsia="宋体"/>
          <w:sz w:val="28"/>
          <w:szCs w:val="28"/>
          <w:lang w:val="en-US" w:eastAsia="zh-CN"/>
        </w:rPr>
      </w:pPr>
      <w:r>
        <w:rPr>
          <w:rFonts w:hint="eastAsia" w:ascii="宋体" w:hAnsi="宋体" w:eastAsia="宋体"/>
          <w:sz w:val="30"/>
          <w:szCs w:val="30"/>
          <w:lang w:val="en-US" w:eastAsia="zh-CN"/>
        </w:rPr>
        <w:t xml:space="preserve"> </w:t>
      </w: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hint="eastAsia"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本周河南政策性小麦拍卖创出最低收购价小麦投拍以来新的纪录，河南小麦投放238.16万吨，成交237.72万吨，成交率99.82%，成交均价达2468元/吨，较上期提高113元/吨。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政策性小麦高成交率、高溢价创造新的历史纪录的背后是市场对后市小麦的看涨预期的加强。深究起来有两大担忧：一是担心粮价后期会进一步上涨。一月份以来玉米价格暴涨使得饲料养殖企业再次将采购需求转向价格更低的小麦市场，市场供需变化推高小麦价格水平的同时其形成的新价格平台又将对玉米价格形成新的支撑的。市场担心如此往复将助推粮价进一步上涨。二是担心疫情防控等级提升影响物资流通。从一月初河北石家庄出现疫情，到目前河北三市实施封闭管理，疫情发展迅速打乱用粮企业补库节奏，特别是河北部分粉企陷入封闭后快速进入缺粮状态引发华北用粮企业的同理心。为规避后期生产及物资流通风险企业恐慌性进入拍卖市场以期通过拍卖增加库存规模。而持续</w:t>
      </w:r>
      <w:bookmarkStart w:id="0" w:name="_GoBack"/>
      <w:bookmarkEnd w:id="0"/>
      <w:r>
        <w:rPr>
          <w:rFonts w:hint="eastAsia" w:ascii="仿宋" w:hAnsi="仿宋" w:eastAsia="仿宋"/>
          <w:sz w:val="32"/>
          <w:szCs w:val="32"/>
          <w:lang w:val="en-US" w:eastAsia="zh-CN"/>
        </w:rPr>
        <w:t>100%的成交率和不断抬高的溢价又反过来刺激买方市场恐慌心理被再次强化。</w:t>
      </w:r>
    </w:p>
    <w:p>
      <w:pPr>
        <w:spacing w:line="360" w:lineRule="auto"/>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eastAsia" w:ascii="仿宋" w:hAnsi="仿宋" w:eastAsia="仿宋"/>
          <w:sz w:val="32"/>
          <w:szCs w:val="32"/>
          <w:lang w:val="en-US" w:eastAsia="zh-CN"/>
        </w:rPr>
        <w:t xml:space="preserve"> </w:t>
      </w:r>
    </w:p>
    <w:p>
      <w:pPr>
        <w:spacing w:line="360" w:lineRule="auto"/>
        <w:jc w:val="center"/>
        <w:rPr>
          <w:rFonts w:hint="eastAsia"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hint="eastAsia" w:ascii="仿宋" w:hAnsi="仿宋" w:eastAsia="仿宋"/>
          <w:b/>
          <w:sz w:val="32"/>
          <w:szCs w:val="32"/>
        </w:rPr>
      </w:pP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据中央气象台最新全国农业气象周报显示，上周的寒潮天气再次使得全国气温骤降，中东部地区平均气温为1981年以来同期第四低。但北方冬小麦由于前期抗寒锻炼充分，麦田墒情较好，低温天气对北方冬小麦安全越冬影响不大，对南方和冬小麦生长影响有限，且极端低温利于降低病虫害越冬基数，对大田病虫害防控有利；本周冷空气活动依然频繁，但冷空气对冬小麦冬季生长影响不大。最新农作物生长发育状况监控显示</w:t>
      </w:r>
      <w:r>
        <w:rPr>
          <w:rFonts w:hint="default" w:ascii="仿宋" w:hAnsi="仿宋" w:eastAsia="仿宋"/>
          <w:sz w:val="32"/>
          <w:szCs w:val="32"/>
          <w:lang w:val="en-US" w:eastAsia="zh-CN"/>
        </w:rPr>
        <w:t>目前</w:t>
      </w:r>
      <w:r>
        <w:rPr>
          <w:rFonts w:hint="eastAsia" w:ascii="仿宋" w:hAnsi="仿宋" w:eastAsia="仿宋"/>
          <w:sz w:val="32"/>
          <w:szCs w:val="32"/>
          <w:lang w:val="en-US" w:eastAsia="zh-CN"/>
        </w:rPr>
        <w:t>西北地区、华北以及黄淮大部冬小麦处于越冬期，江淮、江汉和西南地区冬小麦大部处于分蘖期，云南局地拔节孕穗。全国冬小麦一、二类苗占比分别为20%、79%，一类苗较上周减少1个百分点，二类苗占比与上周持平。针对当前气候特点周报建议北方冬麦区加强田间巡查，做好越冬期管理。</w:t>
      </w:r>
    </w:p>
    <w:p>
      <w:pPr>
        <w:numPr>
          <w:ilvl w:val="0"/>
          <w:numId w:val="1"/>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月8日，国家发改委等11部委联合印发《关于做好2021年春运工作和加强春运疫情防控的意见》就2021春节期间春运工作和疫情防控做出部署。意见指出，要把疫情防控放在首位，坚持常态化精准防控和局部应急处置有机结合。意见强调铁路、港航企业要优化运输组织，统筹安排好煤炭、油气等能源物资和粮食等重要生活物资运输。针对当前河北疫情突发的形势，1月13日，交通运输部、公安部、国家邮政局再发通知（《关于科学精准做好河北、北京等地应急物资运输和交通保障工作的紧急通知》）。要求各省级交通运输、公安部门要对参与河北防疫保供的车辆（持有《进出河北疫情防控应急物资运输车辆通行证》）特别是河北籍车辆，按照“非必要不阻断”原则，保障快速顺畅通行。</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意见》指出要以常态化精准防控和局部应急处置有机结合的方式应对疫情变化，笔者以为这预示着全国大范围隔离将不再是实施防控措施的首选项。市场所担心的疫情影响下交通物流大面积停摆将不会发生。同时根据《意见》中生活物资优先保障的政策以及三部委交通保障的通知要求，笔者预计目前实施封闭管理的河北石家庄、邢台、廊坊三地的重要物资运输将快速得到恢复，困扰当地粮食加工企业的粮食物流难题也将快速得到解决。</w:t>
      </w:r>
    </w:p>
    <w:p>
      <w:pPr>
        <w:numPr>
          <w:ilvl w:val="0"/>
          <w:numId w:val="1"/>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玉米价格持续走高牵动市场目光的同时也牵动着粮食主管部门的心。1月12日，在国家粮食和物资储备局新闻通气会上，粮食储备司司长秦玉云就玉米库存情况进行了说明，他表示，当前企业和农户主动存粮意识明显增强。企业商品库存创近15年来的最高水平，东北地区玉米商品库存已达到上年同期的3倍。官方对玉米库存情况的说明再次印证了前玉米市场的现状，即我国玉米供需紧平衡的现状没有变，目前市场缺粮情况发生更多是因为在流通的中间环节囤积惜售所引发。1月13日，国家粮食和物资储备局局长张务锋在接受新华社采访时也再度强调我国粮食库存处于较高水平。目前中央储备粮规模保持稳定，地方储备能够满足产区三个月、销区六个月、产销平衡区四个半月的市场供应量，36个大中城市建立了一定数量的成品粮油储备。粮食应急保障体系初步建立。目前已建立起重点地区联动保障机制，组织粮食应急加工企业复工复产，灵活投放政策性粮食，持续稳定供应。同时保障机制经受住了疫情的考验。</w:t>
      </w:r>
    </w:p>
    <w:p>
      <w:pPr>
        <w:numPr>
          <w:ilvl w:val="0"/>
          <w:numId w:val="2"/>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饲料、制粉需求集中爆发、疫情影响进一步发酵不断刺激着市场双方的购销心理，持粮主体囤粮惜售与用粮企业提价补库矛盾的对立统一是推动粮价走高的主要因素。据国家粮油统计信息平台监测显示，截至1月11日郑州市普通小麦进厂价格为2530元/吨，较上周上涨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安阳为2510元/吨，较上周上涨4</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r>
        <w:rPr>
          <w:rFonts w:hint="default" w:ascii="仿宋" w:hAnsi="仿宋" w:eastAsia="仿宋"/>
          <w:sz w:val="32"/>
          <w:szCs w:val="32"/>
          <w:lang w:val="en-US" w:eastAsia="zh-CN"/>
        </w:rPr>
        <w:t>；</w:t>
      </w:r>
      <w:r>
        <w:rPr>
          <w:rFonts w:hint="eastAsia" w:ascii="仿宋" w:hAnsi="仿宋" w:eastAsia="仿宋"/>
          <w:sz w:val="32"/>
          <w:szCs w:val="32"/>
          <w:lang w:val="en-US" w:eastAsia="zh-CN"/>
        </w:rPr>
        <w:t>漯河为2580元/吨，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；商丘为2500元/吨，较上周上涨9</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元/吨；周口为2460元/吨，较上周上涨3</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w:t>
      </w:r>
    </w:p>
    <w:p>
      <w:pPr>
        <w:numPr>
          <w:ilvl w:val="0"/>
          <w:numId w:val="2"/>
        </w:numPr>
        <w:spacing w:line="360" w:lineRule="auto"/>
        <w:ind w:firstLine="640" w:firstLineChars="200"/>
        <w:rPr>
          <w:rFonts w:hint="eastAsia" w:ascii="仿宋" w:hAnsi="仿宋" w:eastAsia="仿宋"/>
          <w:b/>
          <w:sz w:val="32"/>
          <w:szCs w:val="32"/>
        </w:rPr>
      </w:pPr>
      <w:r>
        <w:rPr>
          <w:rFonts w:hint="eastAsia" w:ascii="仿宋" w:hAnsi="仿宋" w:eastAsia="仿宋"/>
          <w:sz w:val="32"/>
          <w:szCs w:val="32"/>
          <w:lang w:val="en-US" w:eastAsia="zh-CN"/>
        </w:rPr>
        <w:t>在河北疫情防控等级提高影响下民众对疫情恐慌心理加剧，民众相应加大了粮食物资的储备力度。叠加春节临近民众开始备年货，近来面粉价格开始逐渐偏强运行。监测显示，目前郑州市粉厂面粉出厂价格为3100元/吨，较上周上涨10元/吨；安阳为2780元/吨，较上周上涨100元/吨；漯河为2</w:t>
      </w:r>
      <w:r>
        <w:rPr>
          <w:rFonts w:hint="default" w:ascii="仿宋" w:hAnsi="仿宋" w:eastAsia="仿宋"/>
          <w:sz w:val="32"/>
          <w:szCs w:val="32"/>
          <w:lang w:val="en-US" w:eastAsia="zh-CN"/>
        </w:rPr>
        <w:t>6</w:t>
      </w:r>
      <w:r>
        <w:rPr>
          <w:rFonts w:hint="eastAsia" w:ascii="仿宋" w:hAnsi="仿宋" w:eastAsia="仿宋"/>
          <w:sz w:val="32"/>
          <w:szCs w:val="32"/>
          <w:lang w:val="en-US" w:eastAsia="zh-CN"/>
        </w:rPr>
        <w:t>40元/吨，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；商丘为2900元/吨，</w:t>
      </w:r>
      <w:r>
        <w:rPr>
          <w:rFonts w:hint="default" w:ascii="仿宋" w:hAnsi="仿宋" w:eastAsia="仿宋"/>
          <w:sz w:val="32"/>
          <w:szCs w:val="32"/>
          <w:lang w:val="en-US" w:eastAsia="zh-CN"/>
        </w:rPr>
        <w:t>较上周</w:t>
      </w:r>
      <w:r>
        <w:rPr>
          <w:rFonts w:hint="eastAsia" w:ascii="仿宋" w:hAnsi="仿宋" w:eastAsia="仿宋"/>
          <w:sz w:val="32"/>
          <w:szCs w:val="32"/>
          <w:lang w:val="en-US" w:eastAsia="zh-CN"/>
        </w:rPr>
        <w:t>上涨7</w:t>
      </w:r>
      <w:r>
        <w:rPr>
          <w:rFonts w:hint="default" w:ascii="仿宋" w:hAnsi="仿宋" w:eastAsia="仿宋"/>
          <w:sz w:val="32"/>
          <w:szCs w:val="32"/>
          <w:lang w:val="en-US" w:eastAsia="zh-CN"/>
        </w:rPr>
        <w:t>0元/吨</w:t>
      </w:r>
      <w:r>
        <w:rPr>
          <w:rFonts w:hint="eastAsia" w:ascii="仿宋" w:hAnsi="仿宋" w:eastAsia="仿宋"/>
          <w:sz w:val="32"/>
          <w:szCs w:val="32"/>
          <w:lang w:val="en-US" w:eastAsia="zh-CN"/>
        </w:rPr>
        <w:t>；周口为2930元/吨，较上周下跌40元/吨。</w:t>
      </w:r>
    </w:p>
    <w:p>
      <w:pPr>
        <w:numPr>
          <w:ilvl w:val="0"/>
          <w:numId w:val="2"/>
        </w:numPr>
        <w:spacing w:line="360" w:lineRule="auto"/>
        <w:ind w:firstLine="640" w:firstLineChars="200"/>
        <w:rPr>
          <w:rFonts w:hint="eastAsia" w:ascii="仿宋" w:hAnsi="仿宋" w:eastAsia="仿宋"/>
          <w:b/>
          <w:sz w:val="32"/>
          <w:szCs w:val="32"/>
        </w:rPr>
      </w:pPr>
      <w:r>
        <w:rPr>
          <w:rFonts w:hint="eastAsia" w:ascii="仿宋" w:hAnsi="仿宋" w:eastAsia="仿宋"/>
          <w:sz w:val="32"/>
          <w:szCs w:val="32"/>
          <w:lang w:val="en-US" w:eastAsia="zh-CN"/>
        </w:rPr>
        <w:t>在玉米价格飞涨带动下，饲用粮价格整体强势。与此同时养殖企业担心在疫情和春节因素影响下物流可能提前停运而加快春节备货节奏和备货数量。因此本周河南麸皮价格上涨势头依然明显。监测显示目前郑州市麸皮出厂价格为1990元/吨，较上周上涨30元/吨；安阳为1980元/吨，较上周上涨40元/吨；漯河为1610元/吨，</w:t>
      </w:r>
      <w:r>
        <w:rPr>
          <w:rFonts w:hint="default" w:ascii="仿宋" w:hAnsi="仿宋" w:eastAsia="仿宋"/>
          <w:sz w:val="32"/>
          <w:szCs w:val="32"/>
          <w:lang w:val="en-US" w:eastAsia="zh-CN"/>
        </w:rPr>
        <w:t>与上周持平</w:t>
      </w:r>
      <w:r>
        <w:rPr>
          <w:rFonts w:hint="eastAsia" w:ascii="仿宋" w:hAnsi="仿宋" w:eastAsia="仿宋"/>
          <w:sz w:val="32"/>
          <w:szCs w:val="32"/>
          <w:lang w:val="en-US" w:eastAsia="zh-CN"/>
        </w:rPr>
        <w:t>；商丘为2120元/吨，较上周上涨4</w:t>
      </w:r>
      <w:r>
        <w:rPr>
          <w:rFonts w:hint="default" w:ascii="仿宋" w:hAnsi="仿宋" w:eastAsia="仿宋"/>
          <w:sz w:val="32"/>
          <w:szCs w:val="32"/>
          <w:lang w:val="en-US" w:eastAsia="zh-CN"/>
        </w:rPr>
        <w:t>0</w:t>
      </w:r>
      <w:r>
        <w:rPr>
          <w:rFonts w:hint="eastAsia" w:ascii="仿宋" w:hAnsi="仿宋" w:eastAsia="仿宋"/>
          <w:sz w:val="32"/>
          <w:szCs w:val="32"/>
          <w:lang w:val="en-US" w:eastAsia="zh-CN"/>
        </w:rPr>
        <w:t>元/吨；周口为1910元/吨，较上周上涨90元/吨。</w:t>
      </w:r>
    </w:p>
    <w:p>
      <w:pPr>
        <w:spacing w:line="360" w:lineRule="auto"/>
        <w:rPr>
          <w:rFonts w:hint="eastAsia" w:ascii="仿宋" w:hAnsi="仿宋" w:eastAsia="仿宋"/>
          <w:sz w:val="32"/>
          <w:szCs w:val="32"/>
          <w:lang w:val="en-US" w:eastAsia="zh-CN"/>
        </w:rPr>
      </w:pPr>
      <w:r>
        <w:rPr>
          <w:rFonts w:hint="eastAsia" w:ascii="仿宋" w:hAnsi="仿宋" w:eastAsia="仿宋"/>
          <w:b/>
          <w:sz w:val="32"/>
          <w:szCs w:val="32"/>
        </w:rPr>
        <w:t>后市预测</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玉米飞涨、疫情发酵等因素叠加造就了当前小麦市场火爆异常的局面。预计短期内华北地区小麦价格仍将偏强运行。一是饲料养殖企业积极采购小麦带动小麦需求增长。据饲料企业反映，当前小麦在禽料中的添加比例较前期明显提高，目前肉鸡饲料替代玉米的比例在10%～50%，肉鸭饲料替代占比则达到30%～90%。二是疫情防控压力加大后企业采购补库意愿加强。目前河北三地市在疫情影响下实施封闭管理，物流虽然没有中断但当地企业采购心态明显增强。11月12日，邢台金沙河已将小麦收购价格提至2610元/吨，其高价抢收目的明显。据市场反应目前华北粉企补库意愿较前期明显增强，小麦进厂价格也随之水涨船高。三是买涨不买跌心态影响下市场供需矛盾加剧。小麦市场价格走高使得前期贸易商本已松动的惜售心态复又加强，这与用粮企业积极的补库意愿相碰撞，使得市场供需矛盾短期内进一步激化，成为推动小麦价格继续走高的又一因素。</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不过最后笔者还要提醒市场双方不要盲目跟随市场追涨杀跌。当前的市场局面是在诸多因素叠加并相互刺激下产生的恐慌市，并不能正确反映当前小麦市场的真实情况。总的来说目前我国小麦库存仍然充裕，经过本次交易后临储小麦仍有超7000万吨的规模，完全能够满足制粉及饲料养殖企业生产需求。而市场担心因疫情带来的物流问题也会随着国家发改委、交通运输部等相关部委的意见、通知的执行而快速解决。</w:t>
      </w:r>
    </w:p>
    <w:p>
      <w:pPr>
        <w:numPr>
          <w:ilvl w:val="0"/>
          <w:numId w:val="0"/>
        </w:numPr>
        <w:spacing w:line="360" w:lineRule="auto"/>
        <w:ind w:firstLine="640" w:firstLineChars="200"/>
        <w:rPr>
          <w:rFonts w:hint="eastAsia" w:ascii="仿宋" w:hAnsi="仿宋" w:eastAsia="仿宋"/>
          <w:sz w:val="32"/>
          <w:szCs w:val="32"/>
          <w:lang w:val="en-US" w:eastAsia="zh-CN"/>
        </w:rPr>
      </w:pP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abstractNum w:abstractNumId="1">
    <w:nsid w:val="ED50294D"/>
    <w:multiLevelType w:val="singleLevel"/>
    <w:tmpl w:val="ED50294D"/>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20A2317"/>
    <w:rsid w:val="03D738C2"/>
    <w:rsid w:val="04203DBE"/>
    <w:rsid w:val="04AE0E28"/>
    <w:rsid w:val="05B317AE"/>
    <w:rsid w:val="061F160B"/>
    <w:rsid w:val="06E56EF7"/>
    <w:rsid w:val="07EE6FF2"/>
    <w:rsid w:val="080532E8"/>
    <w:rsid w:val="087844CC"/>
    <w:rsid w:val="092B712E"/>
    <w:rsid w:val="09842527"/>
    <w:rsid w:val="099C4E36"/>
    <w:rsid w:val="0A853AB9"/>
    <w:rsid w:val="0CF55975"/>
    <w:rsid w:val="0E256A38"/>
    <w:rsid w:val="0E9F0F4E"/>
    <w:rsid w:val="0F604F19"/>
    <w:rsid w:val="0FFF7091"/>
    <w:rsid w:val="117076EA"/>
    <w:rsid w:val="13567416"/>
    <w:rsid w:val="14A17120"/>
    <w:rsid w:val="179727DE"/>
    <w:rsid w:val="182721E0"/>
    <w:rsid w:val="197F2DB3"/>
    <w:rsid w:val="1B6323F1"/>
    <w:rsid w:val="1D396AA3"/>
    <w:rsid w:val="1E302143"/>
    <w:rsid w:val="1F18161D"/>
    <w:rsid w:val="1F246A49"/>
    <w:rsid w:val="20872832"/>
    <w:rsid w:val="20AE187D"/>
    <w:rsid w:val="20C73DAD"/>
    <w:rsid w:val="215D7098"/>
    <w:rsid w:val="22BE4321"/>
    <w:rsid w:val="244B1AF9"/>
    <w:rsid w:val="24F84FBE"/>
    <w:rsid w:val="25262077"/>
    <w:rsid w:val="27820F8C"/>
    <w:rsid w:val="2817770E"/>
    <w:rsid w:val="28244BF1"/>
    <w:rsid w:val="29CD27ED"/>
    <w:rsid w:val="2AD90D21"/>
    <w:rsid w:val="2C57071D"/>
    <w:rsid w:val="2F346BE6"/>
    <w:rsid w:val="30622AEB"/>
    <w:rsid w:val="30DC600F"/>
    <w:rsid w:val="31E60687"/>
    <w:rsid w:val="324D214F"/>
    <w:rsid w:val="32C72AA1"/>
    <w:rsid w:val="3345276C"/>
    <w:rsid w:val="36264647"/>
    <w:rsid w:val="36CF2993"/>
    <w:rsid w:val="36D82FC0"/>
    <w:rsid w:val="36EE32D1"/>
    <w:rsid w:val="38540E4D"/>
    <w:rsid w:val="39775A5B"/>
    <w:rsid w:val="399B6AB0"/>
    <w:rsid w:val="3ABF544F"/>
    <w:rsid w:val="3B260B1F"/>
    <w:rsid w:val="3CA25738"/>
    <w:rsid w:val="3D876A84"/>
    <w:rsid w:val="3DFC188F"/>
    <w:rsid w:val="40EF2F76"/>
    <w:rsid w:val="41026629"/>
    <w:rsid w:val="45742DBB"/>
    <w:rsid w:val="478A385A"/>
    <w:rsid w:val="478A70FF"/>
    <w:rsid w:val="4C3F6284"/>
    <w:rsid w:val="4F095443"/>
    <w:rsid w:val="4F50291A"/>
    <w:rsid w:val="501E0748"/>
    <w:rsid w:val="502D7B5E"/>
    <w:rsid w:val="512A6660"/>
    <w:rsid w:val="52E12CFA"/>
    <w:rsid w:val="534E6FB9"/>
    <w:rsid w:val="54025AD2"/>
    <w:rsid w:val="542C5A27"/>
    <w:rsid w:val="56794EFE"/>
    <w:rsid w:val="584A0713"/>
    <w:rsid w:val="59381C40"/>
    <w:rsid w:val="59A2092C"/>
    <w:rsid w:val="5A534788"/>
    <w:rsid w:val="5B360529"/>
    <w:rsid w:val="5C624F07"/>
    <w:rsid w:val="5D9775D7"/>
    <w:rsid w:val="5F847AD0"/>
    <w:rsid w:val="5FFC14E7"/>
    <w:rsid w:val="62A334D2"/>
    <w:rsid w:val="651C41BD"/>
    <w:rsid w:val="651E6913"/>
    <w:rsid w:val="652D6CB8"/>
    <w:rsid w:val="65857C9C"/>
    <w:rsid w:val="6BFE2DE5"/>
    <w:rsid w:val="6C5D3941"/>
    <w:rsid w:val="6F7D2215"/>
    <w:rsid w:val="6F8773D6"/>
    <w:rsid w:val="709B704A"/>
    <w:rsid w:val="748556FA"/>
    <w:rsid w:val="7754378C"/>
    <w:rsid w:val="7A056EC1"/>
    <w:rsid w:val="7BD454FA"/>
    <w:rsid w:val="7CE357D8"/>
    <w:rsid w:val="7D775089"/>
    <w:rsid w:val="7DAE6371"/>
    <w:rsid w:val="7DE13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字符"/>
    <w:basedOn w:val="9"/>
    <w:link w:val="3"/>
    <w:qFormat/>
    <w:uiPriority w:val="9"/>
    <w:rPr>
      <w:rFonts w:ascii="宋体" w:hAnsi="宋体" w:eastAsia="宋体" w:cs="宋体"/>
      <w:b/>
      <w:bCs/>
      <w:kern w:val="0"/>
      <w:sz w:val="27"/>
      <w:szCs w:val="27"/>
    </w:rPr>
  </w:style>
  <w:style w:type="character" w:customStyle="1" w:styleId="20">
    <w:name w:val="批注框文本 字符"/>
    <w:basedOn w:val="9"/>
    <w:link w:val="4"/>
    <w:qFormat/>
    <w:uiPriority w:val="99"/>
    <w:rPr>
      <w:sz w:val="18"/>
      <w:szCs w:val="18"/>
    </w:rPr>
  </w:style>
  <w:style w:type="paragraph" w:customStyle="1" w:styleId="21">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AdobeSongStd-Light" w:hAnsi="AdobeSongStd-Light" w:eastAsia="AdobeSongStd-Light" w:cs="Times New Roman"/>
      <w:color w:val="000000"/>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Sheet1!$A$2:$A$155</c:f>
              <c:numCache>
                <c:formatCode>yyyy/m/d</c:formatCode>
                <c:ptCount val="14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numCache>
            </c:numRef>
          </c:cat>
          <c:val>
            <c:numRef>
              <c:f>Sheet1!$B$2:$B$155</c:f>
              <c:numCache>
                <c:formatCode>General</c:formatCode>
                <c:ptCount val="149"/>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Sheet1!$A$2:$A$155</c:f>
              <c:numCache>
                <c:formatCode>yyyy/m/d</c:formatCode>
                <c:ptCount val="14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numCache>
            </c:numRef>
          </c:cat>
          <c:val>
            <c:numRef>
              <c:f>Sheet1!$C$2:$C$155</c:f>
              <c:numCache>
                <c:formatCode>General</c:formatCode>
                <c:ptCount val="149"/>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Sheet1!$A$2:$A$155</c:f>
              <c:numCache>
                <c:formatCode>yyyy/m/d</c:formatCode>
                <c:ptCount val="149"/>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numCache>
            </c:numRef>
          </c:cat>
          <c:val>
            <c:numRef>
              <c:f>Sheet1!$D$2:$D$155</c:f>
              <c:numCache>
                <c:formatCode>General</c:formatCode>
                <c:ptCount val="149"/>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numCache>
            </c:numRef>
          </c:val>
          <c:smooth val="0"/>
        </c:ser>
        <c:dLbls>
          <c:showLegendKey val="0"/>
          <c:showVal val="0"/>
          <c:showCatName val="0"/>
          <c:showSerName val="0"/>
          <c:showPercent val="0"/>
          <c:showBubbleSize val="0"/>
        </c:dLbls>
        <c:marker val="1"/>
        <c:smooth val="0"/>
        <c:axId val="88780160"/>
        <c:axId val="89056768"/>
      </c:lineChart>
      <c:dateAx>
        <c:axId val="88780160"/>
        <c:scaling>
          <c:orientation val="minMax"/>
          <c:max val="44228"/>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89056768"/>
        <c:crosses val="autoZero"/>
        <c:auto val="0"/>
        <c:lblOffset val="100"/>
        <c:baseTimeUnit val="days"/>
      </c:dateAx>
      <c:valAx>
        <c:axId val="89056768"/>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78016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delete val="1"/>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Sheet1!$A$2:$A$141</c:f>
              <c:numCache>
                <c:formatCode>yyyy/m/d</c:formatCode>
                <c:ptCount val="140"/>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numCache>
            </c:numRef>
          </c:cat>
          <c:val>
            <c:numRef>
              <c:f>Sheet1!$B$2:$B$141</c:f>
              <c:numCache>
                <c:formatCode>General</c:formatCode>
                <c:ptCount val="140"/>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Sheet1!$A$2:$A$141</c:f>
              <c:numCache>
                <c:formatCode>yyyy/m/d</c:formatCode>
                <c:ptCount val="140"/>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numCache>
            </c:numRef>
          </c:cat>
          <c:val>
            <c:numRef>
              <c:f>Sheet1!$C$2:$C$141</c:f>
              <c:numCache>
                <c:formatCode>General</c:formatCode>
                <c:ptCount val="140"/>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numCache>
            </c:numRef>
          </c:val>
          <c:smooth val="0"/>
        </c:ser>
        <c:dLbls>
          <c:showLegendKey val="0"/>
          <c:showVal val="1"/>
          <c:showCatName val="0"/>
          <c:showSerName val="0"/>
          <c:showPercent val="0"/>
          <c:showBubbleSize val="0"/>
        </c:dLbls>
        <c:marker val="1"/>
        <c:smooth val="0"/>
        <c:axId val="102799616"/>
        <c:axId val="103262848"/>
      </c:lineChart>
      <c:dateAx>
        <c:axId val="102799616"/>
        <c:scaling>
          <c:orientation val="minMax"/>
          <c:max val="44228"/>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103262848"/>
        <c:crosses val="autoZero"/>
        <c:auto val="1"/>
        <c:lblOffset val="100"/>
        <c:baseTimeUnit val="days"/>
      </c:dateAx>
      <c:valAx>
        <c:axId val="103262848"/>
        <c:scaling>
          <c:orientation val="minMax"/>
          <c:max val="25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799616"/>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1745</Words>
  <Characters>1911</Characters>
  <Paragraphs>32</Paragraphs>
  <TotalTime>25</TotalTime>
  <ScaleCrop>false</ScaleCrop>
  <LinksUpToDate>false</LinksUpToDate>
  <CharactersWithSpaces>1914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2018-06-12T00:34:00Z</cp:lastPrinted>
  <dcterms:modified xsi:type="dcterms:W3CDTF">2021-01-14T03:46:33Z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RubyTemplateID">
    <vt:lpwstr>6</vt:lpwstr>
  </property>
</Properties>
</file>